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bidi w:val="0"/>
        <w:ind w:left="0" w:hanging="0"/>
        <w:jc w:val="left"/>
        <w:rPr>
          <w:rFonts w:ascii="Tahoma" w:hAnsi="Tahoma"/>
          <w:sz w:val="20"/>
        </w:rPr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both"/>
        <w:outlineLvl w:val="0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0"/>
        <w:rPr/>
      </w:pPr>
      <w:r>
        <w:rPr>
          <w:b/>
        </w:rPr>
        <w:t>ГОСУДАРСТВЕННОЕ САНИТАРНО-ЭПИДЕМИОЛОГИЧЕСКОЕ НОРМИРОВАНИЕ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РОССИЙСКОЙ ФЕДЕРАЦИИ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right"/>
        <w:rPr/>
      </w:pPr>
      <w:r>
        <w:rPr/>
        <w:t>Утверждаю</w:t>
      </w:r>
    </w:p>
    <w:p>
      <w:pPr>
        <w:pStyle w:val="ConsPlusNormal"/>
        <w:bidi w:val="0"/>
        <w:ind w:left="0" w:hanging="0"/>
        <w:jc w:val="right"/>
        <w:rPr/>
      </w:pPr>
      <w:r>
        <w:rPr/>
        <w:t>Руководитель Федеральной службы</w:t>
      </w:r>
    </w:p>
    <w:p>
      <w:pPr>
        <w:pStyle w:val="ConsPlusNormal"/>
        <w:bidi w:val="0"/>
        <w:ind w:left="0" w:hanging="0"/>
        <w:jc w:val="right"/>
        <w:rPr/>
      </w:pPr>
      <w:r>
        <w:rPr/>
        <w:t>по надзору в сфере защиты прав</w:t>
      </w:r>
    </w:p>
    <w:p>
      <w:pPr>
        <w:pStyle w:val="ConsPlusNormal"/>
        <w:bidi w:val="0"/>
        <w:ind w:left="0" w:hanging="0"/>
        <w:jc w:val="right"/>
        <w:rPr/>
      </w:pPr>
      <w:r>
        <w:rPr/>
        <w:t>потребителей и благополучия человека,</w:t>
      </w:r>
    </w:p>
    <w:p>
      <w:pPr>
        <w:pStyle w:val="ConsPlusNormal"/>
        <w:bidi w:val="0"/>
        <w:ind w:left="0" w:hanging="0"/>
        <w:jc w:val="right"/>
        <w:rPr/>
      </w:pPr>
      <w:r>
        <w:rPr/>
        <w:t>Главный государственный санитарный</w:t>
      </w:r>
    </w:p>
    <w:p>
      <w:pPr>
        <w:pStyle w:val="ConsPlusNormal"/>
        <w:bidi w:val="0"/>
        <w:ind w:left="0" w:hanging="0"/>
        <w:jc w:val="right"/>
        <w:rPr/>
      </w:pPr>
      <w:r>
        <w:rPr/>
        <w:t>врач Российской Федерации</w:t>
      </w:r>
    </w:p>
    <w:p>
      <w:pPr>
        <w:pStyle w:val="ConsPlusNormal"/>
        <w:bidi w:val="0"/>
        <w:ind w:left="0" w:hanging="0"/>
        <w:jc w:val="right"/>
        <w:rPr/>
      </w:pPr>
      <w:r>
        <w:rPr/>
        <w:t>А.Ю.ПОПОВА</w:t>
      </w:r>
    </w:p>
    <w:p>
      <w:pPr>
        <w:pStyle w:val="ConsPlusNormal"/>
        <w:bidi w:val="0"/>
        <w:ind w:left="0" w:hanging="0"/>
        <w:jc w:val="right"/>
        <w:rPr/>
      </w:pPr>
      <w:r>
        <w:rPr/>
        <w:t>18 мая 2020 г.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2.4. ГИГИЕНА ДЕТЕЙ И ПОДРОСТКОВ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РОДИТЕЛЬСКИЙ КОНТРОЛЬ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ЗА ОРГАНИЗАЦИЕЙ ГОРЯЧЕГО ПИТАНИЯ ДЕТЕЙ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В ОБЩЕОБРАЗОВАТЕЛЬНЫХ ОРГАНИЗАЦИЯХ</w:t>
      </w:r>
    </w:p>
    <w:p>
      <w:pPr>
        <w:pStyle w:val="ConsPlusNormal"/>
        <w:bidi w:val="0"/>
        <w:ind w:left="0" w:hanging="0"/>
        <w:jc w:val="center"/>
        <w:rPr>
          <w:b/>
          <w:b/>
        </w:rPr>
      </w:pPr>
      <w:r>
        <w:rPr>
          <w:b/>
        </w:rPr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МЕТОДИЧЕСКИЕ РЕКОМЕНДАЦИИ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МР 2.4.0180-20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Родительский контроль за организацией горячего питания детей в общеобразовательных организациях. МР 2.4.0180-20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 Разработаны: Федеральной службы по надзору в сфере защиты прав потребителей и благополучия человека (И.Г. Шевкун, Г.В. Яновская); ФГБУН "ФИЦ питания и биотехнологии" (Д.Б. Никитюк, А.К. Батурин, Е.А. Пырьева, М.В. Гмошинская, С.А. Димитриева, М.А. Тоболева); ФБУН "Новосибирский научно-исследовательский институт гигиены" Роспотребнадзора (И.И. Новикова, Ю.В. Ерофеев, С.П. Романенко); ФГБОУ ВО "Новосибирский государственный медицинский университет" Минздрава России (Л.А. Шпагина, О.Н. Герасименко).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 Утверждены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А.Ю. Поповой "18" мая 2020 г.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 Введены впервые.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I. Общие положения и область применения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1.1. Настоящие методические рекомендации направлены на: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улучшение организации питания детей в общеобразовательной организации и в домашних условиях;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проведение мониторинга результатов родительского контроля, формирование предложений для принятия решений по улучшению питания в образовательных организациях.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1.2. МР предназначены для учредителей общеобразовательных организаций, государственных и муниципальных органов управления образованием и органов управления общеобразовательной организацией, родительских комитетов, общественных организаций, родителей (других законных представителей детей).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II. Принципы организации здорового питания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 xml:space="preserve">2.1. Федеральным </w:t>
      </w:r>
      <w:hyperlink r:id="rId2">
        <w:r>
          <w:rPr>
            <w:color w:val="0000FF"/>
          </w:rPr>
          <w:t>законом</w:t>
        </w:r>
      </w:hyperlink>
      <w:r>
        <w:rPr/>
        <w:t xml:space="preserve"> от 01.03.2020 N 47-ФЗ "О внесении изменений в Федеральный </w:t>
      </w:r>
      <w:hyperlink r:id="rId3">
        <w:r>
          <w:rPr>
            <w:color w:val="0000FF"/>
          </w:rPr>
          <w:t>закон</w:t>
        </w:r>
      </w:hyperlink>
      <w:r>
        <w:rPr/>
        <w:t xml:space="preserve"> "О качестве и безопасности пищевых продуктов" и </w:t>
      </w:r>
      <w:hyperlink r:id="rId4">
        <w:r>
          <w:rPr>
            <w:color w:val="0000FF"/>
          </w:rPr>
          <w:t>статьей 37</w:t>
        </w:r>
      </w:hyperlink>
      <w:r>
        <w:rPr/>
        <w:t xml:space="preserve"> Федерального закона от 29.12.2012 N 273-ФЗ "Об образовании в Российской Федерации" в части совершенствования правового регулирования вопросов обеспечения качества пищевых продуктов" установлено определение "здорового питания", что крайне важно для формирования здоровой нации и увеличения продолжительности активного долголетия.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Здоровое питание - питание, ежедневный рацион которого основывается на принципах здорового питания, отвечает требованиям безопасности и создает условия для физического и интеллектуального развития, жизнедеятельности человека и будущих поколений.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Принципами здорового питания являются основные правила и положения, способствующие укреплению здоровья человека и будущих поколений, снижению риска развития заболеваний и включают в себя: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обеспечение приоритетности защиты жизни и здоровья потребителей пищевых продуктов по отношению к экономическим интересам индивидуальных предпринимателей и юридических лиц, осуществляющих деятельность, связанную с обращением пищевых продуктов;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соответствие энергетической ценности ежедневного рациона энергозатратам;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соответствие химического состава ежедневного рациона физиологическим потребностям человека в макронутриентах (белки и аминокислоты, жиры и жирные кислоты, углеводы) и микронутриентах (витамины, минеральные вещества и микроэлементы, биологически активные вещества);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наличие в составе ежедневного рациона пищевых продуктов со сниженным содержанием насыщенных жиров (включая трансизомеры жирных кислот), простых сахаров и поваренной соли, а также пищевых продуктов, обогащенных витаминами, пищевыми волокнами и биологически активными веществами;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обеспечение максимально разнообразного здорового питания и оптимального его режима;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применение технологической и кулинарной обработки пищевых продуктов, обеспечивающих сохранность их исходной пищевой ценности;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обеспечение соблюдения санитарно-эпидемиологических требований на всех этапах обращения пищевых продуктов (готовых блюд);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исключение использования фальсифицированных пищевых продуктов.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Здоровое питание предусматривает профилактику патологических пищевых привычек (избыточный по калорийности ужин, чрезмерное потребление соли и сахара, легких углеводов, предпочтение продукции с высоким содержанием сахара (кондитерские изделия, сладкие выпечка и напитки), жира (колбасные изделия и сосиски, бутерброды), продолжительные перерывы между основными приемами пищи.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Здоровое питание направлено на снижение рисков формирования патологии желудочно-кишечного тракта, эндокринной системы, снижение риска развития сердечно-сосудистых заболеваний и избыточной массы тела.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2.2. Режим питания.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Интервалы между основными приемами пищи (завтрак, обед и ужин) должны составлять не менее 3,5 - 4 часов; между основными и промежуточными приемами пищи (второй завтрак, полдник, второй ужин) - не менее 1,5 часов.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Рекомендуемое количество приемов пищи в образовательной организации определяется режимом функционирования образовательной организации (таблица).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2"/>
        <w:rPr/>
      </w:pPr>
      <w:r>
        <w:rPr/>
        <w:t>Таблица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Рекомендуемое количество приемов пищи в образовательной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организации в зависимости от режима функционирования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tbl>
      <w:tblPr>
        <w:tblW w:w="9023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152"/>
        <w:gridCol w:w="2154"/>
        <w:gridCol w:w="4717"/>
      </w:tblGrid>
      <w:tr>
        <w:trPr/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Вид организации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Продолжительность, либо время нахождения ребенка в организации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Количество приемов пищи</w:t>
            </w:r>
          </w:p>
        </w:tc>
      </w:tr>
      <w:tr>
        <w:trPr/>
        <w:tc>
          <w:tcPr>
            <w:tcW w:w="2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Общеобразовательные организации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до 6 часов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один прием пищи - завтрак или обед в зависимости от режима обучения (смены), либо завтрак для детей, обучающихся в первую смену, либо обед для детей, обучающихся во вторую смену</w:t>
            </w:r>
          </w:p>
        </w:tc>
      </w:tr>
      <w:tr>
        <w:trPr/>
        <w:tc>
          <w:tcPr>
            <w:tcW w:w="21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более 6 часов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не менее двух приемов пищи (приемы пищи определяются временем нахождения в организации) либо завтрак и обед для детей, обучающихся в первую смену, либо обед и полдник (для детей, обучающихся во вторую смену)</w:t>
            </w:r>
          </w:p>
        </w:tc>
      </w:tr>
      <w:tr>
        <w:trPr/>
        <w:tc>
          <w:tcPr>
            <w:tcW w:w="21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круглосуточно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завтрак, обед, полдник, ужин, второй ужин</w:t>
            </w:r>
          </w:p>
        </w:tc>
      </w:tr>
      <w:tr>
        <w:trPr/>
        <w:tc>
          <w:tcPr>
            <w:tcW w:w="2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Группы продленного дня в общеобразовательной организации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до 15.00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завтрак, обед</w:t>
            </w:r>
          </w:p>
        </w:tc>
      </w:tr>
      <w:tr>
        <w:trPr/>
        <w:tc>
          <w:tcPr>
            <w:tcW w:w="21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до 18.00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завтрак, обед, полдник</w:t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Для приема пищи в расписании занятий предусматривается достаточное время - не менее 20 минут.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случае, если для организации питания предусматривается использование столовой, находящейся за пределами общеобразовательной организации, продолжительность перемен рекомендуется увеличивать на период времени нахождения ребенка в пути.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2.3. Формирование у детей культуры правильного питания.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 образовательной организации создаются благоприятные условия для приема пищи, включая интерьер обеденного зала, сервировку столов, микроклимат, освещенность.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При приеме пищи дети не должны спешить. При быстрой еде пища плохо измельчается, недостаточно обрабатывается слюной, что ведет к повышенной нагрузке на слизистую желудка. В результате ухудшается перевариваемость и усвояемость пищи. Торопливая еда формирует у детей патологический стереотип поведения.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2.4. Энергетическая ценность рациона питания должна удовлетворять энергозатраты ребенка, биологическая ценность - физиологической потребности.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2.5. В меню предусматривается рациональное распределение суточной калорийности по приемам пищи: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на завтрак приходится 20 - 25% калорийности суточного рациона;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на второй завтрак (если он есть) - 5 - 10%;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на обед - 30 - 35%;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на полдник - 10 - 15%;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на ужин - 25 - 30%;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на второй ужин - 5%.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2.6. Питание должно быть сбалансированным и разнообразным. Одни и те же блюда не должны повторяться в течение дня и двух смежных дней.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III. Родительский контроль за организацией питания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детей в общеобразовательных организациях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3.1. Решение вопросов качественного и здорового питания обучающихся, пропаганды основ здорового питания общеобразовательной организацией должно осуществляться при взаимодействии с общешкольным родительским комитетом, общественными организациями.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3.2. Порядок проведения мероприятий по родительскому контролю за организацией питания обучающихся, в том числе регламентирующего порядок доступа законных представителей обучающихся в помещения для приема пищи, рекомендуется регламентировать локальным нормативным актом общеобразовательной организации.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3.3. При проведении мероприятий родительского контроля за организацией питания детей в организованных детских коллективах могут быть оценены: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соответствие реализуемых блюд утвержденному меню;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санитарно-техническое содержание обеденного зала (помещения для приема пищи), состояние обеденной мебели, столовой посуды, наличие салфеток и т.п.;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условия соблюдения правил личной гигиены обучающимися;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наличие и состояние санитарной одежды у сотрудников, осуществляющих раздачу готовых блюд;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объем и вид пищевых отходов после приема пищи;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наличие лабораторно-инструментальных исследований качества и безопасности поступающей пищевой продукции и готовых блюд;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вкусовые предпочтения детей, удовлетворенность ассортиментом и качеством потребляемых блюд по результатам выборочного опроса детей с согласия их родителей или иных законных представителей;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информирование родителей и детей о здоровом питании.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3.4. Организация родительского контроля может осуществляться в форме анкетирования родителей и детей (</w:t>
      </w:r>
      <w:hyperlink w:anchor="Par159">
        <w:r>
          <w:rPr>
            <w:color w:val="0000FF"/>
          </w:rPr>
          <w:t>приложение 1</w:t>
        </w:r>
      </w:hyperlink>
      <w:r>
        <w:rPr/>
        <w:t xml:space="preserve"> к настоящим МР) и участии в работе общешкольной комиссии (</w:t>
      </w:r>
      <w:hyperlink w:anchor="Par225">
        <w:r>
          <w:rPr>
            <w:color w:val="0000FF"/>
          </w:rPr>
          <w:t>приложение 2</w:t>
        </w:r>
      </w:hyperlink>
      <w:r>
        <w:rPr/>
        <w:t xml:space="preserve"> к настоящим МР).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Итоги проверок обсуждаются на общеродительских собраниях и могут явиться основанием для обращений в адрес администрации образовательной организации, ее учредителя и (или) оператора питания, органов контроля (надзора).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center"/>
        <w:outlineLvl w:val="1"/>
        <w:rPr/>
      </w:pPr>
      <w:r>
        <w:rPr>
          <w:b/>
        </w:rPr>
        <w:t>IV. Рекомендации родителям</w:t>
      </w:r>
    </w:p>
    <w:p>
      <w:pPr>
        <w:pStyle w:val="ConsPlusNormal"/>
        <w:bidi w:val="0"/>
        <w:ind w:left="0" w:hanging="0"/>
        <w:jc w:val="center"/>
        <w:rPr/>
      </w:pPr>
      <w:r>
        <w:rPr>
          <w:b/>
        </w:rPr>
        <w:t>по организации питания детей в семье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4.1. Роль и значение питания.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Рациональное питание обеспечивает хорошее физическое и нервно-психическое развитие детей, повышает сопротивляемость по отношению к инфекционным заболеваниям, улучшает работоспособность и выносливость.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Питание должно покрывать не только затраты, происходящие в процессе жизни, но и обеспечить правильный рост и развитие ребенка.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Всякие нарушения в питании как количественные, так и, особенно, качественные отрицательно влияют на здоровье детей. Особенно вредны для детского организма нарушения в питании в период наиболее интенсивного роста ребенка.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Питание ребенка необходимо построить с учетом того, чтобы он получал с пищей все вещества, которые входят в состав его тканей и органов (белки, жиры, углеводы, минеральные соли, витамины и воду). Особенно большое значение имеет белок.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Белок является пластическим материалом, входит в состав всех органов и тканей, поддерживает нормальное состояние иммунитета, играет исключительно важную роль в функциональных процессах организма.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Белки содержатся как в животных, так и растительных продуктах (крупе, муке, хлебе, картофеле). Наиболее полноценны белки животного происхождения, содержащиеся в мясе, рыбе, яйце, твороге, молоке, сыре, так как они содержат жизненно необходимые аминокислоты. Недостаток белка в питании ведет к задержке роста и развития ребенка, снижается сопротивляемость к различным внешним воздействиям.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Жиры также входят в состав органов и тканей человека, они необходимы для покрытия энерготрат, участвуют в теплорегуляции, обеспечивают нормальное состояние иммунитета. Наличие жира в рационе делает пищу вкуснее и дает более длительное чувство насыщения.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Наиболее ценны молочные жиры (масло сливочное, жир молока), которые содержат витамины А и Д. В питании детей должно также содержаться и растительное масло - источник биологически важных ненасыщенных жирных кислот. Жир говяжий, особенно бараний, имеют высокую точку плавления, поэтому трудно перевариваются.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Углеводы - главный источник энергии в организме. Они участвуют в обмене веществ, способствуют правильному использованию белка и жира. Углеводы содержатся в хлебе, крупах, картофеле, овощах, ягодах, фруктах, сахаре, сладостях. Избыток в питании хлеба, мучных и крупяных изделий, сладостей приводит к повышенному содержанию в рационе углеводов, что нарушает правильное соотношение между белками, жирами и углеводами.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Минеральные вещества принимают участие во всех обменных процессах организма (кровотворении, пищеварении и т.д.). Минеральные соли содержатся во всех продуктах (мясе, рыбе, молоке, яйце, картофеле, овощах и др.). Особенно важно обеспечить растущий организм солями кальция и фосфора, которые входят в состав костной ткани. Соли кальция необходимы для работы сердца и мускулатуры. Некоторые фосфорные соединения входят в состав нервной ткани. Основным полноценным источником кальция является молоко. Много кальция в овощах и корнеплодах, но кальций, содержащийся в растительных продуктах, хуже усваивается. Фосфор широко распространен в природе, содержится в муке, крупах, картофеле, яйце, мясе.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Железо входит в состав гемоглобина, способствует переносу кислорода в ткани, оно содержится в говядине, печени, желтке яйца, зелени (шпинат, салат, петрушка и др.), помидорах, ягодах, яблоках.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Соли натрия и калия служат регуляторами воды в тканях. Калий регулирует выделение ее через почки. Калий содержится в картофеле, капусте, моркови, черносливе и др. продуктах.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Некоторые минеральные вещества необходимы организму в очень малых количествах (кобальт, медь, йод, марганец, фтор), их называют микроэлементами. Они также необходимы для правильной жизнедеятельности организма. Медь, кобальт стимулируют кровотворение. Фтор, марганец входят в состав костной ткани, в частности, зубов. Магний имеет большое значение для мышечной системы, особенно мышцы сердца. Йод регулирует функцию щитовидной железы.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Очень большое значение имеет содержание в питании ребенка необходимого количества витаминов. Витамины способствуют правильному росту и развитию ребенка, участвуют во всех обменных процессах и должны входить в рацион в определенных количествах.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Витамин A имеет большое значение для растущего организма. Данный витамин повышает сопротивляемость организма к инфекционным заболеваниям, необходим для нормальной функции органов зрения, для роста и размножения клеток организма. При его отсутствии замедляется рост, нарушается острота зрения, повышается заболеваемость особенно верхних дыхательных путей, кожа лица и рук теряет эластичность, становится шершавой, легко подвергается воспалительным процессам. Витамин A в чистом виде содержится в сливочном масле, сливках, молоке, икре, рыбьем жире, сельди, яичном желтке, печени. Также витамин A может образовываться в организме из провитамина-каротина, который содержится в растительных продуктах (моркови - красной, томате, шпинате, щавеле, зеленом луке, салате, шиповнике, хурме, абрикосах и др.).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Витамин Д участвует в минеральном обмене, способствует правильному отложению солей кальция и фосфора в костях, тесно связан с иммуно-реактивным состоянием организма. Содержится в печени рыб и животных, сельди, желтке яйца, сливочном масле, рыбьем жире.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Витамины группы B. Витамин B1 - витамин принимает участие в белковом и углеводном обмене. При недостатке его в питании наблюдаются нарушения со стороны нервной системы (повышенная возбудимость, раздражительность, быстрая утомляемость). Витамин B1 содержится в хлебе грубого помола (ржаном, пшеничном), горохе, фасоли, овсяной и гречневой крупах, в мясе, яйце, молоке.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Витамин B2 - рибофлавин связан с белковым и жировым обменом, имеет большое значение для нормальной функции нервной системы, желудочно-кишечного тракта. При недостатке его в рационе нарушается всасывание жировых веществ, возникают кожные заболевания, появляются стоматиты, трещины в углах рта, нарушается деятельность центральной нервной системы (быстрая утомляемость). Витамин B2 содержится в молоке, яйце, печени, мясе, овощах.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Витамин PP - никотиновая кислота участвует в обменных процессах. Данный витамин содержится во многих продуктах, поэтому при разнообразном ассортименте продуктов рацион содержит достаточное количество витамина PP. Основным источником данного витамина являются ржаной и пшеничный хлеб, томат, картофель, морковь, капуста. Также витамин PP содержится в мясе, рыбе, молоке, яйце.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Витамин C - аскорбиновая кислота предохраняет от заболеваний и повышает сопротивляемость детей к инфекционным заболеваниям, участвует во всех обменных процессах. При недостатке витамина C повышается восприимчивость к различным заболеваниям, падает работоспособность. Витамин C широко распространен в природе: содержится в зелени, овощах, ягодах, фруктах. Источником этого витамина является картофель, капуста, но так как витамин C разрушается кислородом воздуха, особенно при нагревании, легко растворяется в воде, то для сохранения витамина C в пище очень большое значение имеет кулинарная обработка.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Вода входит в состав всех органов и тканей человеческого тела. Она составляет главную массу крови, лимфы, пищеварительных соков. Для удовлетворения потребности в воде, в рацион ребенка нужно включать первые блюда, напитки (чай, молоко, кисель, компот, суп и т.п.).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правильного использования пищи большое значение имеют ее вкусовые качества, разнообразие меню. Для повышения вкусовых качеств пищи можно в небольших количествах использовать зелень и др. приправы (петрушку, укроп, лук, ревень). Жгучие, острые и пряные приправы раздражают слизистую желудочно-кишечного тракта (перец, горчица, хрен и т.п.), что приводит к развитию заболеваний. Приправы увеличивают аппетит, что затрудняет контроль за пищевым поведением, приводит к избыточному потреблению пищи.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Для того, чтобы пища хорошо усваивалась, она должна быть разнообразной, безопасной, правильно и вкусно приготовленной, - только такую пищу ребенок съедает с удовольствием, т.е. с аппетитом. Аппетит зависит и от режима питания.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Режим питания предусматривает определенные часы приема пищи и интервалы между ними, количественное и качественное распределение ее в течение дня.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Если ребенок приучен есть в определенное время, то к этому времени начинается выделение пищеварительных соков, "рефлекс на время". Поэтому дети должны получать питание в точно установленные часы. При запаздывании с принятием пищи налаженная работа пищеварительных желез расстраивается, выделение пищеварительного сока снижается и постепенно развивается анорексия (понижение аппетита). Наблюдения ученых показали, что при правильно построенном питании пища покидает желудок в среднем через 3,5 - 4 часа. Следовательно, интервалы между приемами пищи должны соответствовать этому времени.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4.2. Здоровое питание предусматривает первый прием пищи ребенком дома - завтрак с учетом времени и объема блюд, предлагаемых на завтрак в общеобразовательной организации.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4.3. При приготовлении пищи дома рекомендуется: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Контролировать потребление жира: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исключать жареные блюда, приготовление во фритюре;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не использовать дополнительный жир при приготовлении;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ограничивать употребление колбасных изделий, мясных копченостей, особенно с видимым жиром - они содержат большое количество животного жира и мало белка;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использовать в питании нежирные сорта рыбы, снимать шкуру с птицы, применять не жирные сорта мяса, молока и молочных продуктов, при этом предпочтение отдавать продуктам с более низким содержанием жирности.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Контролировать потребление сахара: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основные источники сахара: варенье, шоколад, конфеты, кондитерские изделия, сладкие газированные напитки;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сладкие блюда, с большим содержанием сахара необходимо принимать ограниченно, в связи с вредным влиянием на обмен веществ, риск возникновения пищевой аллергии и избыточного веса, а также нарушения работы желудочно-кишечного тракта.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Контролировать потребление соли: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норма потребления соли составляет 3 - 5 г в сутки в готовых блюдах;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избыточное потребление соли приводит к задержке жидкости в организме, повышению артериального давления, отекам;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основные правила употребления соли: готовьте без соли, солите готовое блюдо перед употреблением, используйте соль с пониженным содержанием натрия, ограничивайте употребление мясных копченостей.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Выбирать правильные способы кулинарной обработки пищи: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- предпочтительно: приготовление на пару, отваривание, запекание, тушение, припускание.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Приложение 1</w:t>
      </w:r>
    </w:p>
    <w:p>
      <w:pPr>
        <w:pStyle w:val="ConsPlusNormal"/>
        <w:bidi w:val="0"/>
        <w:ind w:left="0" w:hanging="0"/>
        <w:jc w:val="right"/>
        <w:rPr/>
      </w:pPr>
      <w:r>
        <w:rPr/>
        <w:t>к МР 2.4.0180-20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0" w:name="Par159"/>
      <w:bookmarkEnd w:id="0"/>
      <w:r>
        <w:rPr/>
        <w:t>Анкета школьника</w:t>
      </w:r>
    </w:p>
    <w:p>
      <w:pPr>
        <w:pStyle w:val="ConsPlusNormal"/>
        <w:bidi w:val="0"/>
        <w:ind w:left="0" w:hanging="0"/>
        <w:jc w:val="center"/>
        <w:rPr/>
      </w:pPr>
      <w:r>
        <w:rPr/>
        <w:t>(заполняется вместе с родителями)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Пожалуйста, выберите варианты ответов. Если требуется развернутый ответ или дополнительные пояснения, впишите в специальную строку.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1. УДОВЛЕТВОРЯЕТ ЛИ ВАС СИСТЕМА ОРГАНИЗАЦИИ ПИТАНИЯ В ШКОЛЕ?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НЕТ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3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ЗАТРУДНЯЮСЬ ОТВЕТИТЬ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2. УДОВЛЕТВОРЯЕТ ЛИ ВАС САНИТАРНОЕ СОСТОЯНИЕ ШКОЛЬНОЙ СТОЛОВОЙ?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4" name="Изображение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5" name="Изображение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НЕТ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6" name="Изображение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ЗАТРУДНЯЮСЬ ОТВЕТИТЬ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 ПИТАЕТЕСЬ ЛИ ВЫ В ШКОЛЬНОЙ СТОЛОВОЙ?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7" name="Изображение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7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8" name="Изображение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8" descr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НЕТ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3.1. ЕСЛИ НЕТ, ТО ПО КАКОЙ ПРИЧИНЕ?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9" name="Изображение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9" descr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 НРАВИТСЯ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10" name="Изображение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10" descr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 УСПЕВАЕТЕ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11" name="Изображение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11" descr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ПИТАЕТЕСЬ ДОМА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4. В ШКОЛЕ ВЫ ПОЛУЧАЕТЕ: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12" name="Изображение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12" descr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ГОРЯЧИЙ ЗАВТРАК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13" name="Изображение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13" descr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ГОРЯЧИЙ ОБЕД (С ПЕРВЫМ БЛЮДОМ)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14" name="Изображение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14" descr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2-РАЗОВОЕ ГОРЯЧЕЕ ПИТАНИЕ (ЗАВТРАК + ОБЕД)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5. НАЕДАЕТЕСЬ ЛИ ВЫ В ШКОЛЕ?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15" name="Изображение1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15" descr="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16" name="Изображение1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16" descr="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ИНОГДА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17" name="Изображение1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17" descr="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НЕТ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6. ХВАТАЕТ ЛИ ПРОДОЛЖИТЕЛЬНОСТИ ПЕРЕМЕНЫ ДЛЯ ТОГО, ЧТОБЫ ПОЕСТЬ В ШКОЛЕ?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18" name="Изображение1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18" descr="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19" name="Изображение1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19" descr="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НЕТ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7. НРАВИТСЯ ПИТАНИЕ В ШКОЛЬНОЙ СТОЛОВОЙ?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20" name="Изображение2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20" descr="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21" name="Изображение2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Изображение21" descr="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НЕТ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22" name="Изображение2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Изображение22" descr="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 ВСЕГДА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7.1. ЕСЛИ НЕ НРАВИТСЯ, ТО ПОЧЕМУ?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23" name="Изображение2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Изображение23" descr="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НЕВКУСНО ГОТОВЯТ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24" name="Изображение2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Изображение24" descr="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ОДНООБРАЗНОЕ ПИТАНИЕ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25" name="Изображение2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Изображение25" descr="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ГОТОВЯТ НЕЛЮБИМУЮ ПИЩУ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26" name="Изображение2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26" descr="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ОСТЫВШАЯ ЕДА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27" name="Изображение2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Изображение27" descr="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МАЛЕНЬКИЕ ПОРЦИИ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28" name="Изображение2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Изображение28" descr="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ИНОЕ __________________________________________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8. ПОСЕЩАЕТЕ ЛИ ГРУППУ ПРОДЛЕННОГО ДНЯ?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29" name="Изображение2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Изображение29" descr="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30" name="Изображение3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Изображение30" descr="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НЕТ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8.1. ЕСЛИ ДА, ТО ПОЛУЧАЕТЕ ЛИ ПОЛДНИК В ШКОЛЕ ИЛИ ПРИНОСИТ ИЗ ДОМА?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31" name="Изображение3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Изображение31" descr="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ПОЛУЧАЕТ ПОЛДНИК В ШКОЛЕ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32" name="Изображение3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Изображение32" descr="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ПРИНОСИТ ИЗ ДОМА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9. УСТРАИВАЕТ МЕНЮ ШКОЛЬНОЙ СТОЛОВОЙ?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33" name="Изображение3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Изображение33" descr="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34" name="Изображение3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Изображение34" descr="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НЕТ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35" name="Изображение3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Изображение35" descr="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ИНОГДА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10. СЧИТАЕТЕ ЛИ ПИТАНИЕ В ШКОЛЕ ЗДОРОВЫМ И ПОЛНОЦЕННЫМ?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36" name="Изображение3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Изображение36" descr="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ДА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drawing>
          <wp:inline distT="0" distB="0" distL="0" distR="0">
            <wp:extent cx="144780" cy="152400"/>
            <wp:effectExtent l="0" t="0" r="0" b="0"/>
            <wp:docPr id="37" name="Изображение3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Изображение37" descr="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/>
        <w:t>НЕТ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11. ВАШИ ПРЕДЛОЖЕНИЯ ПО ИЗМЕНЕНИЮ МЕНЮ: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______________________________________________________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12. ВАШИ ПРЕДЛОЖЕНИЯ ПО УЛУЧШЕНИЮ ПИТАНИЯ В ШКОЛЕ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______________________________________________________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hanging="0"/>
        <w:jc w:val="right"/>
        <w:outlineLvl w:val="0"/>
        <w:rPr/>
      </w:pPr>
      <w:r>
        <w:rPr/>
        <w:t>Приложение 2</w:t>
      </w:r>
    </w:p>
    <w:p>
      <w:pPr>
        <w:pStyle w:val="ConsPlusNormal"/>
        <w:bidi w:val="0"/>
        <w:ind w:left="0" w:hanging="0"/>
        <w:jc w:val="right"/>
        <w:rPr/>
      </w:pPr>
      <w:r>
        <w:rPr/>
        <w:t>к МР 2.4.0180-20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center"/>
        <w:rPr/>
      </w:pPr>
      <w:bookmarkStart w:id="1" w:name="Par225"/>
      <w:bookmarkEnd w:id="1"/>
      <w:r>
        <w:rPr/>
        <w:t>Форма оценочного листа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firstLine="540"/>
        <w:jc w:val="both"/>
        <w:rPr/>
      </w:pPr>
      <w:r>
        <w:rPr/>
        <w:t>Дата проведения проверки:</w:t>
      </w:r>
    </w:p>
    <w:p>
      <w:pPr>
        <w:pStyle w:val="ConsPlusNormal"/>
        <w:bidi w:val="0"/>
        <w:spacing w:before="160" w:after="0"/>
        <w:ind w:left="0" w:firstLine="540"/>
        <w:jc w:val="both"/>
        <w:rPr/>
      </w:pPr>
      <w:r>
        <w:rPr/>
        <w:t>Инициативная группа, проводившая проверку:</w:t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tbl>
      <w:tblPr>
        <w:tblW w:w="9036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3"/>
        <w:gridCol w:w="7202"/>
        <w:gridCol w:w="1251"/>
      </w:tblGrid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Вопрос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center"/>
              <w:rPr/>
            </w:pPr>
            <w:r>
              <w:rPr/>
              <w:t>Да/нет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1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Имеется ли в организации меню?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да, для всех возрастных групп и режимов функционирования организации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да, но без учета возрастных групп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В)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2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Вывешено ли цикличное меню для ознакомления родителей и детей?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3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Вывешено ли ежедневное меню в удобном для ознакомления родителей и детей месте?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4.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В меню отсутствуют повторы блюд?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да, по всем дням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нет, имеются повторы в смежные дни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5.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В меню отсутствуют запрещенные блюда и продукты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да, по всем дням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нет, имеются повторы в смежные дни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6.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Соответствует ли регламентированное цикличным меню количество приемов пищи режиму функционирования организации?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7.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Есть ли в организации приказ о создании и порядке работы бракеражной комиссии?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8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От всех ли партий приготовленных блюд снимается бракераж?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9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Выявлялись ли факты не допуска к реализации блюд и продуктов по результатам работы бракеражной комиссии (за период не менее месяца)?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10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Созданы ли условия для организации питания детей с учетом особенностей здоровья (сахарный диабет, пищевые аллергии)?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11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Проводится ли уборка помещений после каждого приема пищи?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12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Качественно ли проведена уборка помещений для приема пищи на момент работы комиссии?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13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Обнаруживались ли в помещениях для приема пищи насекомые, грызуны и следы их жизнедеятельности?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14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Созданы ли условия для соблюдения детьми правил личной гигиены?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15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Выявлялись ли замечания к соблюдению детьми правил личной гигиены?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16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Выявлялись ли при сравнении реализуемого меню с утвержденным меню факты исключения отдельных блюд из меню?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  <w:t>17</w:t>
            </w:r>
          </w:p>
        </w:tc>
        <w:tc>
          <w:tcPr>
            <w:tcW w:w="8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Имели ли факты выдачи детям остывшей пищи?</w:t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А) нет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both"/>
              <w:rPr/>
            </w:pPr>
            <w:r>
              <w:rPr/>
              <w:t>Б) 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tabs>
                <w:tab w:val="clear" w:pos="720"/>
              </w:tabs>
              <w:bidi w:val="0"/>
              <w:ind w:left="0" w:hanging="0"/>
              <w:jc w:val="left"/>
              <w:rPr/>
            </w:pPr>
            <w:r>
              <w:rPr/>
            </w:r>
          </w:p>
        </w:tc>
      </w:tr>
    </w:tbl>
    <w:p>
      <w:pPr>
        <w:pStyle w:val="ConsPlusNormal"/>
        <w:widowControl w:val="false"/>
        <w:bidi w:val="0"/>
        <w:ind w:left="0" w:hanging="0"/>
        <w:jc w:val="both"/>
        <w:rPr/>
      </w:pPr>
      <w:r>
        <w:rPr/>
      </w:r>
    </w:p>
    <w:p>
      <w:pPr>
        <w:pStyle w:val="ConsPlusNormal"/>
        <w:bidi w:val="0"/>
        <w:ind w:left="0" w:hanging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left="0" w:hanging="0"/>
        <w:jc w:val="both"/>
        <w:rPr/>
      </w:pPr>
      <w:r>
        <w:rPr/>
      </w:r>
    </w:p>
    <w:sectPr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Style14">
    <w:name w:val="Hyperlink"/>
    <w:rPr>
      <w:color w:val="000080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6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LAW&amp;n=346666" TargetMode="External"/><Relationship Id="rId3" Type="http://schemas.openxmlformats.org/officeDocument/2006/relationships/hyperlink" Target="https://login.consultant.ru/link/?req=doc&amp;base=LAW&amp;n=390279&amp;dst=222" TargetMode="External"/><Relationship Id="rId4" Type="http://schemas.openxmlformats.org/officeDocument/2006/relationships/hyperlink" Target="https://login.consultant.ru/link/?req=doc&amp;base=LAW&amp;n=478592&amp;dst=100551" TargetMode="External"/><Relationship Id="rId5" Type="http://schemas.openxmlformats.org/officeDocument/2006/relationships/image" Target="media/image1.wmf"/><Relationship Id="rId6" Type="http://schemas.openxmlformats.org/officeDocument/2006/relationships/image" Target="media/image1.wmf"/><Relationship Id="rId7" Type="http://schemas.openxmlformats.org/officeDocument/2006/relationships/image" Target="media/image1.wmf"/><Relationship Id="rId8" Type="http://schemas.openxmlformats.org/officeDocument/2006/relationships/image" Target="media/image1.wmf"/><Relationship Id="rId9" Type="http://schemas.openxmlformats.org/officeDocument/2006/relationships/image" Target="media/image1.wmf"/><Relationship Id="rId10" Type="http://schemas.openxmlformats.org/officeDocument/2006/relationships/image" Target="media/image1.wmf"/><Relationship Id="rId11" Type="http://schemas.openxmlformats.org/officeDocument/2006/relationships/image" Target="media/image1.wmf"/><Relationship Id="rId12" Type="http://schemas.openxmlformats.org/officeDocument/2006/relationships/image" Target="media/image1.wmf"/><Relationship Id="rId13" Type="http://schemas.openxmlformats.org/officeDocument/2006/relationships/image" Target="media/image1.wmf"/><Relationship Id="rId14" Type="http://schemas.openxmlformats.org/officeDocument/2006/relationships/image" Target="media/image1.wmf"/><Relationship Id="rId15" Type="http://schemas.openxmlformats.org/officeDocument/2006/relationships/image" Target="media/image1.wmf"/><Relationship Id="rId16" Type="http://schemas.openxmlformats.org/officeDocument/2006/relationships/image" Target="media/image1.wmf"/><Relationship Id="rId17" Type="http://schemas.openxmlformats.org/officeDocument/2006/relationships/image" Target="media/image1.wmf"/><Relationship Id="rId18" Type="http://schemas.openxmlformats.org/officeDocument/2006/relationships/image" Target="media/image1.wmf"/><Relationship Id="rId19" Type="http://schemas.openxmlformats.org/officeDocument/2006/relationships/image" Target="media/image1.wmf"/><Relationship Id="rId20" Type="http://schemas.openxmlformats.org/officeDocument/2006/relationships/image" Target="media/image1.wmf"/><Relationship Id="rId21" Type="http://schemas.openxmlformats.org/officeDocument/2006/relationships/image" Target="media/image1.wmf"/><Relationship Id="rId22" Type="http://schemas.openxmlformats.org/officeDocument/2006/relationships/image" Target="media/image1.wmf"/><Relationship Id="rId23" Type="http://schemas.openxmlformats.org/officeDocument/2006/relationships/image" Target="media/image1.wmf"/><Relationship Id="rId24" Type="http://schemas.openxmlformats.org/officeDocument/2006/relationships/image" Target="media/image1.wmf"/><Relationship Id="rId25" Type="http://schemas.openxmlformats.org/officeDocument/2006/relationships/image" Target="media/image1.wmf"/><Relationship Id="rId26" Type="http://schemas.openxmlformats.org/officeDocument/2006/relationships/image" Target="media/image1.wmf"/><Relationship Id="rId27" Type="http://schemas.openxmlformats.org/officeDocument/2006/relationships/image" Target="media/image1.wmf"/><Relationship Id="rId28" Type="http://schemas.openxmlformats.org/officeDocument/2006/relationships/image" Target="media/image1.wmf"/><Relationship Id="rId29" Type="http://schemas.openxmlformats.org/officeDocument/2006/relationships/image" Target="media/image1.wmf"/><Relationship Id="rId30" Type="http://schemas.openxmlformats.org/officeDocument/2006/relationships/image" Target="media/image1.wmf"/><Relationship Id="rId31" Type="http://schemas.openxmlformats.org/officeDocument/2006/relationships/image" Target="media/image1.wmf"/><Relationship Id="rId32" Type="http://schemas.openxmlformats.org/officeDocument/2006/relationships/image" Target="media/image1.wmf"/><Relationship Id="rId33" Type="http://schemas.openxmlformats.org/officeDocument/2006/relationships/image" Target="media/image1.wmf"/><Relationship Id="rId34" Type="http://schemas.openxmlformats.org/officeDocument/2006/relationships/image" Target="media/image1.wmf"/><Relationship Id="rId35" Type="http://schemas.openxmlformats.org/officeDocument/2006/relationships/image" Target="media/image1.wmf"/><Relationship Id="rId36" Type="http://schemas.openxmlformats.org/officeDocument/2006/relationships/image" Target="media/image1.wmf"/><Relationship Id="rId37" Type="http://schemas.openxmlformats.org/officeDocument/2006/relationships/image" Target="media/image1.wmf"/><Relationship Id="rId38" Type="http://schemas.openxmlformats.org/officeDocument/2006/relationships/image" Target="media/image1.wmf"/><Relationship Id="rId39" Type="http://schemas.openxmlformats.org/officeDocument/2006/relationships/image" Target="media/image1.wmf"/><Relationship Id="rId40" Type="http://schemas.openxmlformats.org/officeDocument/2006/relationships/image" Target="media/image1.wmf"/><Relationship Id="rId41" Type="http://schemas.openxmlformats.org/officeDocument/2006/relationships/image" Target="media/image1.wmf"/><Relationship Id="rId42" Type="http://schemas.openxmlformats.org/officeDocument/2006/relationships/fontTable" Target="fontTable.xml"/><Relationship Id="rId4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LibreOffice/7.4.7.2$Windows_X86_64 LibreOffice_project/723314e595e8007d3cf785c16538505a1c878ca5</Application>
  <AppVersion>15.0000</AppVersion>
  <Pages>9</Pages>
  <Words>2989</Words>
  <Characters>20059</Characters>
  <CharactersWithSpaces>22817</CharactersWithSpaces>
  <Paragraphs>268</Paragraphs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2024-07-16T10:30:00Z</dcterms:created>
  <dc:creator/>
  <dc:description/>
  <dc:language>ru-RU</dc:language>
  <cp:lastModifiedBy/>
  <dcterms:modified xsi:type="dcterms:W3CDTF">2024-07-16T10:30:43Z</dcterms:modified>
  <cp:revision>1</cp:revision>
  <dc:subject/>
  <dc:title>"МР 2.4.0180-20. 2.4. Гигиена детей и подростков. Родительский контроль за организацией горячего питания детей в общеобразовательных организациях. Методические рекомендации"(утв. Главным государственным санитарным врачом РФ 18.05.2020)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